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sz w:val="22"/>
          <w:szCs w:val="22"/>
        </w:rPr>
      </w:pPr>
      <w:bookmarkStart w:name="logo" w:id="0"/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3086100</wp:posOffset>
            </wp:positionH>
            <wp:positionV relativeFrom="line">
              <wp:posOffset>-114300</wp:posOffset>
            </wp:positionV>
            <wp:extent cx="3009900" cy="12477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47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ind w:left="5664" w:firstLine="432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4780279</wp:posOffset>
                </wp:positionH>
                <wp:positionV relativeFrom="page">
                  <wp:posOffset>2272664</wp:posOffset>
                </wp:positionV>
                <wp:extent cx="1944371" cy="125349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1" cy="12534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1"/>
                              <w:shd w:val="clear" w:color="auto" w:fill="ffffff"/>
                              <w:ind w:left="0" w:firstLine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Stadtratsfraktion Trier</w:t>
                            </w:r>
                          </w:p>
                          <w:p>
                            <w:pPr>
                              <w:pStyle w:val="Normal.0"/>
                              <w:shd w:val="clear" w:color="auto" w:fill="ffffff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Rathaus</w:t>
                            </w:r>
                          </w:p>
                          <w:p>
                            <w:pPr>
                              <w:pStyle w:val="Normal.0"/>
                              <w:shd w:val="clear" w:color="auto" w:fill="ffffff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Augustinerhof</w:t>
                            </w:r>
                          </w:p>
                          <w:p>
                            <w:pPr>
                              <w:pStyle w:val="Normal.0"/>
                              <w:shd w:val="clear" w:color="auto" w:fill="ffffff"/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54290 Trier</w:t>
                            </w:r>
                          </w:p>
                          <w:p>
                            <w:pPr>
                              <w:pStyle w:val="Normal.0"/>
                              <w:shd w:val="clear" w:color="auto" w:fill="ffffff"/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Tel.: 0651/48834</w:t>
                            </w:r>
                          </w:p>
                          <w:p>
                            <w:pPr>
                              <w:pStyle w:val="Normal.0"/>
                              <w:shd w:val="clear" w:color="auto" w:fill="ffffff"/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Fax: 0651/47099</w:t>
                            </w:r>
                          </w:p>
                          <w:p>
                            <w:pPr>
                              <w:pStyle w:val="Normal.0"/>
                              <w:shd w:val="clear" w:color="auto" w:fill="ffffff"/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mail: gruene.im.rat@trier.de</w:t>
                            </w:r>
                          </w:p>
                          <w:p>
                            <w:pPr>
                              <w:pStyle w:val="Normal.0"/>
                              <w:shd w:val="clear" w:color="auto" w:fill="ffffff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www.gruene-stadtrat-trier.de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6.4pt;margin-top:178.9pt;width:153.1pt;height:98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  <w:shd w:val="clear" w:color="auto" w:fill="ffffff"/>
                        <w:ind w:left="0" w:firstLine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  <w:rtl w:val="0"/>
                          <w:lang w:val="de-DE"/>
                        </w:rPr>
                        <w:t>Stadtratsfraktion Trier</w:t>
                      </w:r>
                    </w:p>
                    <w:p>
                      <w:pPr>
                        <w:pStyle w:val="Normal.0"/>
                        <w:shd w:val="clear" w:color="auto" w:fill="ffffff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Rathaus</w:t>
                      </w:r>
                    </w:p>
                    <w:p>
                      <w:pPr>
                        <w:pStyle w:val="Normal.0"/>
                        <w:shd w:val="clear" w:color="auto" w:fill="ffffff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Augustinerhof</w:t>
                      </w:r>
                    </w:p>
                    <w:p>
                      <w:pPr>
                        <w:pStyle w:val="Normal.0"/>
                        <w:shd w:val="clear" w:color="auto" w:fill="ffffff"/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fr-FR"/>
                        </w:rPr>
                        <w:t>54290 Trier</w:t>
                      </w:r>
                    </w:p>
                    <w:p>
                      <w:pPr>
                        <w:pStyle w:val="Normal.0"/>
                        <w:shd w:val="clear" w:color="auto" w:fill="ffffff"/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fr-FR"/>
                        </w:rPr>
                        <w:t>Tel.: 0651/48834</w:t>
                      </w:r>
                    </w:p>
                    <w:p>
                      <w:pPr>
                        <w:pStyle w:val="Normal.0"/>
                        <w:shd w:val="clear" w:color="auto" w:fill="ffffff"/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fr-FR"/>
                        </w:rPr>
                        <w:t>Fax: 0651/47099</w:t>
                      </w:r>
                    </w:p>
                    <w:p>
                      <w:pPr>
                        <w:pStyle w:val="Normal.0"/>
                        <w:shd w:val="clear" w:color="auto" w:fill="ffffff"/>
                        <w:jc w:val="both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fr-FR"/>
                        </w:rPr>
                        <w:t>mail: gruene.im.rat@trier.de</w:t>
                      </w:r>
                    </w:p>
                    <w:p>
                      <w:pPr>
                        <w:pStyle w:val="Normal.0"/>
                        <w:shd w:val="clear" w:color="auto" w:fill="ffffff"/>
                        <w:jc w:val="both"/>
                      </w:pPr>
                      <w:r>
                        <w:rPr>
                          <w:sz w:val="22"/>
                          <w:szCs w:val="22"/>
                          <w:rtl w:val="0"/>
                          <w:lang w:val="fr-FR"/>
                        </w:rPr>
                        <w:t xml:space="preserve">www.gruene-stadtrat-trier.de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p>
      <w:pPr>
        <w:pStyle w:val="Normal.0"/>
        <w:ind w:left="5664" w:firstLine="432"/>
        <w:jc w:val="both"/>
        <w:rPr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line">
                  <wp:posOffset>203200</wp:posOffset>
                </wp:positionV>
                <wp:extent cx="1928019" cy="873169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019" cy="873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 w:type="textWrapping"/>
                              <w:br w:type="textWrapping"/>
                              <w:br w:type="textWrapping"/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Herrn Oberb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rgermeister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Wolfram Leibe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9.0pt;margin-top:16.0pt;width:151.8pt;height:68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</w:rPr>
                        <w:br w:type="textWrapping"/>
                        <w:br w:type="textWrapping"/>
                        <w:br w:type="textWrapping"/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de-DE"/>
                        </w:rPr>
                        <w:t>Herrn Oberb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de-DE"/>
                        </w:rPr>
                        <w:t>rgermeister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sz w:val="22"/>
                          <w:szCs w:val="22"/>
                          <w:rtl w:val="0"/>
                          <w:lang w:val="de-DE"/>
                        </w:rPr>
                        <w:t>Wolfram Leibe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.0"/>
        <w:ind w:left="5664" w:firstLine="0"/>
        <w:jc w:val="both"/>
        <w:rPr>
          <w:b w:val="1"/>
          <w:bCs w:val="1"/>
          <w:i w:val="1"/>
          <w:iCs w:val="1"/>
          <w:sz w:val="22"/>
          <w:szCs w:val="22"/>
          <w:lang w:val="fr-FR"/>
        </w:rPr>
      </w:pPr>
    </w:p>
    <w:p>
      <w:pPr>
        <w:pStyle w:val="Normal.0"/>
        <w:ind w:left="5664" w:firstLine="0"/>
        <w:jc w:val="both"/>
        <w:rPr>
          <w:sz w:val="22"/>
          <w:szCs w:val="22"/>
          <w:lang w:val="fr-FR"/>
        </w:rPr>
      </w:pPr>
    </w:p>
    <w:p>
      <w:pPr>
        <w:pStyle w:val="Normal.0"/>
        <w:ind w:left="6828" w:firstLine="252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Trier 15.03.2018</w:t>
      </w:r>
    </w:p>
    <w:p>
      <w:pPr>
        <w:pStyle w:val="Normal.0"/>
        <w:ind w:left="6828" w:firstLine="252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Antrag:</w:t>
      </w:r>
    </w:p>
    <w:p>
      <w:pPr>
        <w:pStyle w:val="Normal.0"/>
        <w:rPr>
          <w:sz w:val="22"/>
          <w:szCs w:val="22"/>
        </w:rPr>
      </w:pPr>
      <w:bookmarkEnd w:id="0"/>
    </w:p>
    <w:p>
      <w:pPr>
        <w:pStyle w:val="Normal.0"/>
        <w:spacing w:after="200" w:line="276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Nutzungskonzept st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dtischer Dachfl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chen f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r die Energiewende/Version 2</w:t>
      </w:r>
    </w:p>
    <w:p>
      <w:pPr>
        <w:pStyle w:val="Normal.0"/>
        <w:spacing w:after="20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"Die 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chsten Jahre sind wahrscheinlich die wichtigsten in der Geschichte der Menschheit", erkl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rte die Wissenschaftlerin Debra Roberts Ende letzten Jahres bei der Vorstellung des Berichtes des Weltklimarates. Denn, so ist dem Bericht zu entnehmen, bis 2030 muss der CO2-Aussto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ß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um 45 Prozent weltweit sinken, nur so </w:t>
      </w:r>
      <w:commentRangeStart w:id="1"/>
      <w:r>
        <w:rPr>
          <w:rFonts w:ascii="Calibri" w:cs="Calibri" w:hAnsi="Calibri" w:eastAsia="Calibri"/>
          <w:sz w:val="22"/>
          <w:szCs w:val="22"/>
          <w:rtl w:val="0"/>
          <w:lang w:val="de-DE"/>
        </w:rPr>
        <w:t>ist</w:t>
      </w:r>
      <w:commentRangeEnd w:id="1"/>
      <w:r>
        <w:commentReference w:id="1"/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1,5 Prozent-Ziel der Beschr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nkung der Klimaerw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rmung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berhaupt noch m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glich. Auch Deutschland wird in den kommenden Jahren seine Klimaziele weiterhin verfehlen. Dem Klimaschutzbericht der Bundesregierung zufolge wird im Jahr 2020 der Aussto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ß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des besonders klimasch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dlichen Kohlendioxids um bis zu 35 Millionen Tonnen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ber Plan liegen. </w:t>
      </w:r>
    </w:p>
    <w:p>
      <w:pPr>
        <w:pStyle w:val="Normal.0"/>
        <w:spacing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Der Rat der Stadt Trier hat fr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hzeitig wegweisende Beschl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sse gefasst. Das Ziel bis 2030 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nfzig Prozent des Stromverbrauches in der Stadt Trier aus Erneuerbaren Energien zu beziehen ist ein durchaus ehrgeiziges. Unsere kommunalen Stadtwerke agieren an dieser Stelle vorbildlich und werden 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r ihre innovativen Umsetzungen immer wieder mit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berregionalen und nationalen Preisen versehen. Viele Potentiale in unserer Stadt werden jedoch noch nicht, oder noch nicht genug ausgesch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pft, um unseren Beitrag an der Verhinderung der Klimakatastrophe zu leisten. Auch wird durch den 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ckgang der fossilen Energien der Stromverbrauch in den kommenden Jahren weiter ansteigen, beispielhaft sei hier der Bereich der E-Mobilit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t mit Elektroautos und E-Bussen genannt. </w:t>
      </w:r>
    </w:p>
    <w:p>
      <w:pPr>
        <w:pStyle w:val="Normal.0"/>
        <w:spacing w:after="200"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Neben Energiesparma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ß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nahmen durch z.B. Effizienzsteigerung (siehe st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dtische Beleuchtung) sind nat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rlich auch die Potentiale der Erzeugung</w:t>
      </w:r>
      <w:r>
        <w:rPr>
          <w:rFonts w:ascii="Calibri" w:cs="Calibri" w:hAnsi="Calibri" w:eastAsia="Calibri"/>
          <w:sz w:val="22"/>
          <w:szCs w:val="22"/>
          <w:vertAlign w:val="superscript"/>
        </w:rPr>
        <w:footnoteReference w:id="1"/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Erneuerbarer Energien zu nutzen. Gerade im Bereich der st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dtischen Liegenschaften ist hier noch erheblicher Nachholbedarf. W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hrend energetische Sanierungen oft mit einem hohen Investitionsbedarf einhergehen, ist die Errichtung von Photovoltaik und Solarthermie, bei intelligenter Planung, langfristig mit Renditen verbunden. Auf Antrag der Fraktion von B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ndnis 90/Die Gr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nen wurde unl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ngst beschlossen, dass die Neubauten der Turnhallen in Trier-West und Feyen, sowie die M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usheckerweghalle mit Photovoltaikanlagen ausgestattet werden. Die gute Zusammenarbeit von den Stadtwerken Trier mit der Geb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udewirtschaft Trier ist an dieser Stelle besonders hervorzuheben. Wir m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chten jedoch sicherstellen, dass dieses Vorgehen auch bei zuk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nftigen Vorhaben und auch bei den st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dtischen Geb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uden im Bestand fortgef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hrt wird.</w:t>
      </w:r>
    </w:p>
    <w:p>
      <w:pPr>
        <w:pStyle w:val="Normal.0"/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Daher stellen wir folgenden Antrag:</w:t>
      </w:r>
    </w:p>
    <w:p>
      <w:pPr>
        <w:pStyle w:val="Normal.0"/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Die Stadtverwaltung Trier wird beauftragt: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In Kooperation mit den Stadtwerken Trier sind alle laut Dachfl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chenkataster </w:t>
      </w:r>
      <w:commentRangeStart w:id="2"/>
      <w:r>
        <w:rPr>
          <w:rFonts w:ascii="Calibri" w:cs="Calibri" w:hAnsi="Calibri" w:eastAsia="Calibri"/>
          <w:sz w:val="22"/>
          <w:szCs w:val="22"/>
          <w:rtl w:val="0"/>
          <w:lang w:val="de-DE"/>
        </w:rPr>
        <w:t>geeignete</w:t>
      </w:r>
      <w:commentRangeEnd w:id="2"/>
      <w:r>
        <w:commentReference w:id="2"/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Dachfl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chen und Fassaden, die sich im Eigentum der Stadt Trier, sowie ihrer Beteiligungsgesellschaften befinden, auf ihre Eignung zur solaren Nutzung zu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berpr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fen. Hier gilt es neuere technische Entwicklungen mit zu ber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cksichtigen. Dies gilt insbesondere 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 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nnschichtsolaranlagen und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„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denkmalschutzf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hige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“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Dachpaneele.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Der Rat ist in seiner 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chsten Sitzung des Dezernatsausschusses IV im Mai dar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ber zu informieren, wie das Dachfl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chenkataster genutzt wird, welche st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dtischen Dachfl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chen besonders geeignet 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 PV-Anlagen sind und wie das Solarkataster auch 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 Privatleute noch attraktiver werden kann.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Jeder Neu- und Umbau ist nach M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glichkeit dahingehend auszurichten, dass die Dachfl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chen und wenn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m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glich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auch die Fassaden solar genutzt werden.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Eine Fassadennutzung 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 das Anbringen von PV-Anlagen kann im Bedarfsfall angeregt werden. Diese 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rfen in keinem Fall denkmalpflegerischen und technischen Belangen wie Entfeuchtung der Fassade entgegenstehen.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Wirtschaftlich tragf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hige Anlagen sollen umgesetzt werden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, 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 diese sollen 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rderungen akquiriert werden, wie sie z.B. die KfW anbietet.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Jede Anlage ist, so vergaberechtlich zul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ssig, in das neuronale Netz der Stadtwerke Trier einzubinden.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Den B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rgerinnen und B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rgern ist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ber Genossenschaftsbeteiligungen die M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glichkeit zu geben zu partizipieren.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Hier sind beispielhaft die UrStrom eG und die TRENEG eG zu nennen. Nach positiver Pr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fung solcher Beteiligungsm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glichkeiten, sind dies aktiv durch die Stadt zu bewerben.</w:t>
      </w:r>
    </w:p>
    <w:p>
      <w:pPr>
        <w:pStyle w:val="Normal.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Der Rat/Dezernatsausschuss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ist bei wegweisenden Weichenstellungen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ber den Stand der Entwicklung einzubinden. Die Entwicklung eines Modells 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r eine geeignete Berichterstattung obliegt dem noch ausstehenden kommunalen Klimaschutzkonzept.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Die Information beinhaltet mindestens: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a) Welche Geb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ude gepr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ft wurden sowie das entsprechende Pr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fergebnis.</w:t>
      </w:r>
    </w:p>
    <w:p>
      <w:pPr>
        <w:pStyle w:val="Normal.0"/>
        <w:spacing w:after="200" w:line="276" w:lineRule="auto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b) Wie viele Anlagen wo errichtet wurden.</w:t>
      </w:r>
    </w:p>
    <w:p>
      <w:pPr>
        <w:pStyle w:val="Normal.0"/>
        <w:spacing w:after="200" w:line="276" w:lineRule="auto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c) Wie hoch die Leistung der Anlagen ist und</w:t>
      </w:r>
    </w:p>
    <w:p>
      <w:pPr>
        <w:pStyle w:val="Normal.0"/>
        <w:spacing w:after="200" w:line="276" w:lineRule="auto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d) wie hoch die CO2 Ersparnis ist.</w:t>
      </w:r>
    </w:p>
    <w:p>
      <w:pPr>
        <w:pStyle w:val="Normal.0"/>
        <w:spacing w:after="20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20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20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gez.</w:t>
      </w:r>
    </w:p>
    <w:p>
      <w:pPr>
        <w:pStyle w:val="Normal.0"/>
        <w:spacing w:after="200" w:line="276" w:lineRule="auto"/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Thorsten Kretzer</w:t>
      </w:r>
      <w:r>
        <w:rPr>
          <w:rFonts w:ascii="Calibri" w:cs="Calibri" w:hAnsi="Calibri" w:eastAsia="Calibri"/>
          <w:sz w:val="22"/>
          <w:szCs w:val="22"/>
        </w:rPr>
        <w:br w:type="textWrapping"/>
      </w:r>
    </w:p>
    <w:sectPr>
      <w:headerReference w:type="default" r:id="rId5"/>
      <w:footerReference w:type="default" r:id="rId6"/>
      <w:pgSz w:w="11900" w:h="16840" w:orient="portrait"/>
      <w:pgMar w:top="993" w:right="1106" w:bottom="851" w:left="1418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1" w:author="GRÜNE-Stadtratsfraktion Trier" w:date="2019-03-20T11:48:00Z">
    <w:p w14:paraId="1111FFFF">
      <w:pPr>
        <w:pStyle w:val="Normal.0"/>
      </w:pPr>
    </w:p>
    <w:p w14:paraId="11120000">
      <w:pPr>
        <w:pStyle w:val="Normal.0"/>
      </w:pPr>
      <w:r>
        <w:t>das</w:t>
      </w:r>
    </w:p>
  </w:comment>
  <w:comment w:id="2" w:author="GRÜNE-Stadtratsfraktion Trier" w:date="2019-03-20T11:50:00Z">
    <w:p w14:paraId="11120001">
      <w:pPr>
        <w:pStyle w:val="Normal.0"/>
      </w:pPr>
    </w:p>
    <w:p w14:paraId="11120002">
      <w:pPr>
        <w:pStyle w:val="Normal.0"/>
      </w:pPr>
      <w:r>
        <w:t>geeigneten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Calibri" w:cs="Calibri" w:hAnsi="Calibri" w:eastAsia="Calibri"/>
          <w:sz w:val="22"/>
          <w:szCs w:val="22"/>
          <w:vertAlign w:val="superscript"/>
        </w:rPr>
        <w:footnoteRef/>
      </w:r>
      <w:r>
        <w:rPr>
          <w:rtl w:val="0"/>
        </w:rPr>
        <w:t xml:space="preserve"> Dem Schreiber des Antrages ist bewusst, dass Energie nicht erzeugt, sondern umgewandelt wird. Um jedoch sprachliche Verrenkungen zu vermeiden wird hier auf den umgangssprachlichen Ausdruck der </w:t>
      </w:r>
      <w:r>
        <w:rPr>
          <w:rtl w:val="0"/>
        </w:rPr>
        <w:t>„</w:t>
      </w:r>
      <w:r>
        <w:rPr>
          <w:rtl w:val="0"/>
        </w:rPr>
        <w:t>Erzeugung</w:t>
      </w:r>
      <w:r>
        <w:rPr>
          <w:rtl w:val="0"/>
        </w:rPr>
        <w:t xml:space="preserve">“ </w:t>
      </w:r>
      <w:r>
        <w:rPr>
          <w:rtl w:val="0"/>
        </w:rPr>
        <w:t>zur</w:t>
      </w:r>
      <w:r>
        <w:rPr>
          <w:rtl w:val="0"/>
        </w:rPr>
        <w:t>ü</w:t>
      </w:r>
      <w:r>
        <w:rPr>
          <w:rtl w:val="0"/>
        </w:rPr>
        <w:t>ckgegriffen.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64" w:right="0" w:firstLine="432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